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«Прайс» обратилось в Арбитражный суд Челябинской области с иском о взыскании с общества с ограниченной ответственностью «Первая гильдия+» 84 997 рублей задолженности и 972 812 рублей 84 копеек неустойки по договору поставки от 28.04.2015 № 36-н/2015. Решением Арбитражного суда Челябинской области от 05.03.2020 иск удовлетворен. Постановлением Восемнадцатого арбитражного апелляционного суда от 18.06.2020 решение суда первой инстанции оставлено без изменения. Арбитражный суд Уральского округа постановлением от 10.09.2020 указанные судебные акты оставил без изменения. Общество с ограниченной ответственностью «Первая гильдия+»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доказанными наличие задолженности по оплате поставленной продукции и нарушение ответчиком срока оплаты поставленной продукции, учитывая отсутствие со стороны ответчика в суде первой инстанции возражений по исковым требованиям как в части основного долга, так и в части неустойки, руководствуясь положениями статей 309, 310, 330, 486, 506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статьями 9, 41, частью 3.1 статьи 70 Арбитражного процессуального кодекса Российской Федерации, суды сделали вывод об обоснованности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«Первая гильдия+»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