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19.02.2020, оставленным без изменения постановлением Пятнадцатого арбитражного апелляционного суда от 06.07.2020, иск удовлетворен. Постановлением Арбитражного суда Северо-Кавказского округа от 27.08.2020 указанные судебные акты оставлены без изменения. 2 Ответчик обратился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удовлетворили иск, признав незаконным односторонний отказ ответчика (заказчика) от муниципального контракта в связи с недоказанностью нарушения истцом (подрядчиком) условий муниципального контракта. Доводы кассационной жалобы были предметом исследования судов и получили исчерпывающую правовую оценку с учетом определенного предмета закупки, не согласиться с которой оснований не имеется, а также с учетом правовой позиции, изложенной в пункте 27 Обзора судебной практики Верховного Суда Российской Федерации № 4 (2018).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