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Камчатского края от 22.09.2020 отказано в удовлетворении ходатайства общества «Луч» о вступлении в дело в качестве третьего лица, заявляющего самостоятельные требования относительно предмета спора, отказано в удовлетворении ходатайства 2 общества «Луч» о привлечении в качестве ответчика должностного лица, вынесшего оспоренное постановление по делу об административном правонарушении, – врио начальника отдела по вопросам миграции Управления Министерства внутренних дел Российской Федерации по г. Петропавловску– Камчатскому Касаткиной Н.Д. Постановлением Пятого арбитражного апелляционного суда от 30.10.2020 определение суда первой инстанции в части отказа в привлечении должностного лица в качестве ответчика отменено, производство по ходатайству общества «Луч» о привлечении должностного лица в качестве ответчика прекращено, в остальной части определение суда первой инстанции оставлено без изменения. В кассационной жалобе, поступившей в Верховный Суд Российской Федерации, общество «Луч» просит отменить вышеуказанные судебные акты, считая их незаконными и необоснованными. Основания для пересмотра судебных актов в кассационном порядке по доводам жалобы отсутствуют. Отказывая в удовлетворении ходатайства о вступлении в дело в качестве третьего лица, заявляющего самостоятельные требования относительно предмета спора, суды с учетом установленных обстоятельств исходили из того, что общество «Луч» не соответствует признакам третьего лица с самостоятельными требованиями; иной статус общества «Луч» как лица, обладающего правом оспаривать постановление по делу об административном правонарушении, не подтвержден. Отменяя определение суда первой инстанции в части отказа в привлечении должностного лица в качестве ответчика и прекращая производство по ходатайству общества «Луч» о привлечении должностного лица в качестве ответчика, суд апелляционной инстанции, руководствуясь положениями статей 9, 40, 44, 46 Арбитражного процессуального кодекса Российской Федерации, признал, что заявленное ходатайство, поступившее от лица, не 3 участвующего в деле, не подлежит рассмотрению по существу, что также исключает необходимость оценки обоснованности изложенных в нем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деятельности. Таких обстоятельств в жалобе не приведено. Доводы жалобы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Исходя из изложенного,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А.Г.Першутов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