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26.08.2020, оставленным без изменения постановлением Пятого арбитражного апелляционного суда от 07.10.2020,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