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Гордиенко П.А. обратился в суд с заявлением об утверждении положения о порядке, сроках и условиях реализации имущества должника, находящегося в залоге. Определением Арбитражного суда города Москвы от 24.03.2020, оставленным без изменения постановлениями Девятого арбитражного апелляционного суда от 29.07.2020 и Арбитражного суда Московского округа от 14.10.2020, положение удовлетворено в редакции финансового управляющего.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110-112, 139 и 213.26 Федерального закона от 26.10.2002 № 127-ФЗ «О несостоятельности (банкротстве)», исходили из того, что предложенный финансовым управляющим вариант положения о продаже имущества должника не противоречит требованиям законодательства о несостоятельности, отвечает принципам разумности, законности и не может привести к нарушению прав кредиторов, указав на согласие залогового кредитора на изменения, вносимые финансовым управляющим в положение, утверждённое на собрании кредиторов должника от 21.06.2019.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Давыдову Юрию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