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26.08.2020, оставленным без изменения постановлением Пятого арбитражного апелляционного суда от 02.10.2020,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