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Камчатского края от 26.08.2020, оставленным без изменения постановлением Пятого арбитражного апелляционного суда от 30.09.2020, отказано в удовлетворении ходатайства 2 общества «Луч» о вступлении в дело в качестве третьего лица, заявляющего самостоятельные требования относительно предмета спора. В кассационной жалобе, поступившей в Верховный Суд Российской Федерации, общество «Луч» просит отменить вышеуказанные судебные акты, считая их незаконными и необоснованными. Основания для пересмотра судебных актов в кассационном порядке по доводам жалобы отсутствуют. Отказывая в удовлетворении ходатайства о вступлении в дело в качестве третьего лица, заявляющего самостоятельные требования относительно предмета спора, суды с учетом установленных обстоятельств исходили из того, что общество «Луч» не соответствует признакам третьего лица с самостоятельными требованиями; иной статус общества «Луч» как лица, обладающего правом оспаривать постановление по делу об административном правонарушении, не подтвержден.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деятельности. Таких обстоятельств в жалобе не приведено.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Исходя из изложенного,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А.Г.Першутов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