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16.10.2019 иск удовлетворен в части взыскания с ответчика задолженность в сумме 219 747,06 рублей, неустойки в сумме 15 689,94 рублей, в удовлетворении остальной части иска отказано. 2 Постановлением Восемнадцатого арбитражного апелляционного суда от 13.01.2020 решение суда первой инстанции изменено, иск удовлетворен в полном объеме. Постановлением Арбитражного суда Уральского округа от 25.08.2020 постановление суда апелляционной инстанции оставлено без изменения. Ответчик обратился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Суд округа, оставляя без изменения постановление суда апелляционной инстанции, руководствовался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и исходил из конкретных установленных судом апелляционной инстанции обстоятельств соответствия постановленного товара условиям контракта, с учетом которых пришел к выводу о наличии оснований для взыскания задолженности и неустойки в заявленном размере. Доводы кассационной жалобы были предметом исследования судов апелляционной и кассационной инстанций и получили исчерпывающую правовую оценку с учетом определенного в контракте предмета закупки и его технических характеристик, не согласиться с которой оснований не имеется. Оснований для иных выводов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