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23.03.2015 обществу с ограниченной ответственностью «ДинАльт» отказано во включении в реестр требований кредиторов должника его требования в размере 607 195 268 рублей 40 копеек. Не согласившись с названным судебным актом, Парамонов Е.В. обжаловал его в апелляционном порядке. Определением Тринадцатого арбитражного апелляционного суда от 15.06.2020, оставленным без изменения постановлением Арбитражного суда Северо-Западного округа от 17.09.2020,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121, 123, 264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исходил из пропуска заявителем, осведомлённым о принятии обжалуемого судебного акта, процессуального срока на её подачу и отсутствия уважительных причин для его восстановления, обусловленных недоказанностью возникновения объективных препятствий и ограничения возможности совершения им соответствующего процессуального действия в разумный срок.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