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Еврейской автономной области от 23.12.2019 требование удовлетворено в части признания недействительным оспариваемого решения относительно исключения из состава расходов, уменьшающих сумму доходов от реализации, за 2015 год - 21 277 779 рублей, за 2016 год - 83 426 850 рублей; доначисления налога на прибыль организаций 2 за 2015 и 2016 годы без учета названных сумм расходов, начисления пеней и штрафов в соответствующей части; доначисления налога на добавленную стоимость за 3 и 4 кварталы 2015 года в размере 5 109 801 рублей, за 2016 год в размере 14 203 995 рублей, начисления соответствующих пеней и штрафов, в остальной части в удовлетворении требования отказано. Постановлением Шестого арбитражного апелляционного суда от 21.05.2020 (с учетом определения от 06.07.2020) решение суда первой инстанции в части удовлетворения требования отменено, в удовлетворении требования отказано. Постановлением Арбитражного суда Дальневосточного округа от 24.08.2020 указанные судебные акты в части отказа в удовлетворении требований о признании недействительным оспариваемого решения по эпизоду, связанному с дополнительным начислением налога на прибыль организаций в сумме 24 258 641 рублей, соответствующих сумм пеней и штрафа, отменены, дело в отмененной части направлено на новое рассмотрение в Арбитражный суд Еврейской автономной области, в остальной части судебные акты оставлены без изменения. Общество просит отменить принятые по делу судебные акты, направить дело на новое рассмотрение в суд первой инстанции.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отказали в удовлетворении требования в части доначисления налога на добавленную стоимость, признав доказанным факт получения обществом необоснованной налоговой выгоды в результате создания формального документооборота со спорными контрагентами, однако в части доначисления налога на прибыль суд округа направил дело на новое рассмотрение для разрешения вопроса обоснованности учета расходов, связанных с приобретением товара, при исчислении налога на прибыль. 3 При рассмотрении дела суды руководствовались положениями статей 146, 169, 171, 172, 252 Налогового кодекса Российской Федерации и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в части направления дела на новое рассмотрение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в указанной части отсутствуют. Приведенные в жалобе доводы со ссылкой на наличие реальных взаимоотношений общества и спорных контрагентов получили исчерпывающую правовую оценку в обжалуемых судебных актах, не согласиться с которой оснований не имеется. При установленных обстоятельствах доводы жалобы не являются достаточными в целях передачи жалобы для рассмотрения в судебном 4 заседании Судебной коллегии по экономическим спорам Верховного Суда Российской Федерации.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