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Палади В.С. обратилась в суд с жалобой на бездействие конкурсного управляющего должником Лосева Руслана Николаевича. Определением Арбитражного суда Тульской области от 23.07.2020, оставленным без изменения постановлениями Двадцатого арбитражного апелляционного суда от 03.09.2020 и Арбитражного суда Центрального округа от 16.10.2020, прекращено производство по жалобе. В кассационной жалобе, поданной в Верховный Суд Российской Федерации, заявитель просит отменить указанные судебные акты, направить дело на новое рассмотрение.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40 и 150 Арбитражного процессуального кодекса Российской Федерации, статей 34, 35 и 60 Федерального закона от 26.10.2002 № 127-ФЗ «О несостоятельности (банкротстве)», установив, что Палади В.С. не является участником дела о банкротстве должника или участником арбитражного процесса по данному делу, пришёл к выводу об отсутствия у неё права на обжалование действий (бездействия) конкурного управляющего должником. Суды апелляционной инстанции и округа поддержали выводы суда первой инстанции. Выводы судов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Палади Веронике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