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17.03.2020, оставленным без изменения постановлениями Четвертого арбитражного апелляционного суда от 21.07.2020 и Арбитражного суда Восточно-Сибирского округа от 05.10.2020, заявление общества удовлетворено. В кассационной жалобе, поданной в Верховный Суд Российской Федерации, управление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проверки сведений о начале оказания обществом охранных услуг управлением 16.08.2019 составлен акт проверки объекта находящегося под охраной общества. Полагая, что проверка проведена управлением с грубым нарушением Административного регламента исполнения Министерством внутренних дел Российской Федерации государственной функции по контролю за частной детективной (сыскной) и охранной деятельностью в Российской Федерации, утвержденного приказом МВД России от 18.06.2012 № 589 (далее - Административный регламент), общество обратилось в арбитражный суд с соответствующим заявлением. Удовлетворяя заявление общества, суды, руководствуясь положениями Закона Российской Федерации от 11.03.1992 № 2487-1 «О частной детективной и охранной деятельности в Российской Федерации», Положением о лицензировании частной охранной деятельности и Правилами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охранных услуг, изменении состава учредителей (участников), утвержденными постановлением Правительства Российской Федерации от 23.06.2011 № 498, Административным регламентом, пришли к выводу о нарушении управлением процедуры проведения проверки. Судебные инстанции исходили из того, что проверка сведений, изложенных в уведомлении, поступившем от юридического лица, о начале (окончании) оказания охранных услуг, и должностной инструкции частного охранника на объекте охраны при обеспечении внутриобъектового и пропускного режимов, является одной из самостоятельных административных процедур, осуществляемых при исполнении функции государственного контроля, вне рамок проведения документарной, выездной, плановой либо внеплановой проверок. Порядок проверки установлен Административным регламентом. При исследовании обстоятельств дела установлено, что управление при проведении проверки не ограничилось проверкой исключительно подаваемой обществом информации; помимо документов, необходимых для проверки сведений, изложенных в уведомлении, поступившем от юридического лица, о начале (окончании) оказания охранных услуг, в нарушение пунктов 29 - 29.5 Административного регламента запрошены и проверены иные сведения и документы, не относящиеся к проверке уведомления о начале оказания охранных услуг, а именно: личные карточки охранников, удостоверения, наличие видеонаблюдения. Кроме того, в нарушение пункта 31 Административного регламента проверка проведена управлением не по месту нахождения лицензионного дела, а по месту осуществления заявителем охранных услуг. Доводы управления являлись предметом рассмотрения судов, получили надлежащую правовую оценку и мотивированно отклонены. С учетом изложенного, доводы кассационной жалобы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войск национальной гвардии Российской Федерации по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"Охранное агентство "Легион" (подробнее) ООО "Охранное агентство "ЛЕГИОН" (подробнее) Ответчики: Управление Федеральной службы войск национальной гвардии Российской Федерации по Иркутской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