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«Энергосбережение и модернизация промышленных предприятий» обратилось в Арбитражный суд города Москвы с иском о взыскании с общества с ограниченной ответственностью «Дизайн-проект-бюро «Мастер» 2 970 750 рублей неосновательного обогащения, а также расходов на оплату услуг представителя в размере 50 000 рублей. К участию в деле в качестве третьего лица, не заявляющего самостоятельных требований относительно предмета спора, привлечено Некоммерческое партнерство «Межрегиональное объединение в сфере строительства «Экспертстрой контроль». Решением Арбитражного суда города Москвы от 24.01.2020 иск удовлетворен. Постановлением Девятого арбитражного апелляционного суда от 03.07.2020 решение суда первой инстанции оставлено без изменения. Арбитражный суд Московского округа постановлением от 23.09.2020 указанные судебные акты оставил без изменения. Общество с ограниченной ответственностью «Дизайн-проект-бюро «Мастер»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1102 , 1105 , 1107 Гражданского кодекса Российской Федерации и исходили из наличия на стороне ответчика неосновательного обогащения и обязанности последнего возвратить истцу неосновательно полученные денежные средства.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«Дизайн-проект- бюро «Мастер»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"ЭНЕРГОСБЕРЕЖЕНИЕ И МОДЕРНИЗАЦИЯ ПРОМЫШЛЕННЫХ ПРЕДПРИЯТИЙ" (подробнее) Ответчики: ООО "ДИЗАЙН-ПРОЕКТ-БЮРО "МАСТЕР" (подробнее) Судьи дела: Зарубина Е.Н. (судья)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