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«Центр мониторинга и контроля за ценообразованием» обратилась в Арбитражный суд города Москвы с иском, уточненным в порядке статьи 49 Арбитражного процессуального кодекса Российской Федерации, о взыскании с публичного акционерного общества Группа компаний «ТНС ЭНЕРГО» 24 500 000 рублей основного долга, 3 198 089 рублей 05 копеек процентов за пользование чужими денежными средствами, с начислением процентов на сумму основного долга с 16.10.2019 по день фактического исполнения обязательства. Решением Арбитражного суда города Москвы от 05.11.2019 иск удовлетворен. Постановлением Девятого арбитражного апелляционного суда от 25.06.2020 решение суда первой инстанции отменено, в удовлетворении иска отказано. Арбитражный суд Московского округа постановлением от 06.10.2020 постановление суда апелляционной инстанции оставил без изменения. 2 Автономная некоммерческая организация «Центр мониторинга и контроля за ценообразованием» обратилась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309, 310, 753, 779, 781, 783 Гражданского кодекса Российской Федерации и исходил из отсутствия доказательств надлежащего оказания истцом услуг по договору и исполнения им обязательства по сдаче- приемке услуг в порядке, установленном пунктом 4.1 договора оказания консультационных услуг в области государственного регулирования цен (тарифов) от 15.09.2016 № ЦМОК-К-7-2016.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«Центр мониторинга и контроля за ценообразованием»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