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16.03.2020, оставленным без изменения постановлениями Семнадцатого арбитражного апелляционного суда от 04.06.2020 и Арбитражного суда Уральского округа от 17.09.2020, с учреждения, а при недостаточности денежных средств в порядке субсидиарной ответственности с ФСИН России в пользу общества взыскана неустойка за период с 14.05.2019 по 07.10.2019 в размере 2 601 рубля 69 копеек. Производство по делу в части взыскания суммы основного долга прекращено. 2 В кассационной жалобе, поданной в Верховный Суд Российской Федерации, ФСИН России ставит вопрос об отмене принятых по делу судебных актов,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доказательства, суды, руководствуясь положениями статей 123.22, 309, 314, 329, 330, 399, 401, 431, 779, 781 Гражданского кодекса Российской Федерации, статей 158, 161 Бюджетного кодекса Российской Федерации, пришли к выводу о наличии оснований для удовлетворения исковых требований. Судебные инстанции исходили из наличия просрочки исполнения обязательств учреждением по государственному контракту от 18.07.2019 № РФ03КО0103001584 на оказание услуг по обращению с ТКО (в редакции дополнительного соглашения от 26.09.2019 № 001/180), признав расчет неустойки верным, отметив, что отсутствие или недостаточность бюджетного финансирования не освобождает должника от ответственности за несвоевременное и ненадлежащее исполнение обязательства. При этом суды указали, что одновременное предъявление требований к основному и субсидиарному должникам не противоречит требованиям пункта 1 статьи 399 Гражданского кодекса Российской Федерации. В этом случае вопрос об имущественном положении казённого учреждения при рассмотрении дела не является значимым, поскольку субсидиарная ответственность Российской Федерации наступит лишь в случае установления с соблюдением предусмотренного законом порядка при исполнении судебного акта о взыскании долга с основного должника факта недостаточности у него имущества. С учетом изложенного, приведенные в жалобе доводы,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