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04.02.2020, оставленным без изменения постановлениями Девятого арбитражного апелляционного суда от 09.06.2020 и Арбитражного суда Московского округа от 16.09.2020, заявленные требования удовлетворены. 2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с января 2019 года по 01 июля 2019 года включительно осуществлена перевозка помощников депутатов Государственной Думы Федерального Собрания Российской Федерации на общественных началах по работе в Новосибирской области, стоимость которой составила 112 137 рублей 70 копеек. Отказ в возмещении расходов по перевозке помощников депутатов послужил основанием для обращения общества в арбитражный суд. Исследовав и оценив представленные в материалы дела доказательства, руководствуясь положениями статей 15, 16, пункта 5 статьи 790, статьи 1071 Гражданского кодекса Российской Федерации, пункта 3 статьи 8 Федерального закона от 10.01.2003 №17-ФЗ «О железнодорожном транспорте в Российской Федерации», статьи 39 Федерального закона от 08.05.1994 № 3-ФЗ «О статусе члена Совета Федерации и статусе депутата Государственной Думы Федерального Собрания Российской Федерации» (в редакции, действовавшей до 03.07.2019), принимая во внимание, что в соответствии с Приложением 10 к Федеральному закону от 29.11.2018 № 459-ФЗ «О федеральном бюджете на 2019 год и на плановый период 2020 и 2021 годов» Государственная Дума Федерального Собрания Российской Федерации включена в ведомственную структуру расходов федерального бюджета на 2019 год по расходам на оплату труда депутатов Государственной Думы и их помощников, суды пришли к выводу о наличии оснований для удовлетворения иска о взыскании с Российской Федерации в лице Аппарата Государственной Думы Федерального Собрания Российской Федерации убытков в сумме 112 137 рублей 70 копеек. 3 При этом судебные инстанции исходили из подтверждения факта несения истцом спорных расходов, а также отсутствия доказательств их возмещения ответчиком. Доводы кассационной жалобы являлись предметом рассмотрения судов, получили надлежащую правовую оценку и мотивированно отклонены. Несогласие министерства с выводами судов,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