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«Андер Контрол» обратилось в Арбитражный суд города Москвы с иском к публичному акционерному обществу «Сбербанк России» о признании незаконным и отмене решения об ограничении банковского обслуживания и блокировке бизнес-карты. К участию в деле в качестве третьего лица, не заявляющего самостоятельных требований относительно предмета спора, привлечена Федеральная служба по финансовому мониторингу. Решением Арбитражного суда города Москвы от 22.04.2020 в удовлетворении иска отказано. Постановлением Девятого арбитражного апелляционного суда от 08.07.2020 решение суда первой инстанции оставлено без изменения. Арбитражный суд Московского округа постановлением от 29.09.2020 указанные судебные акты оставил без изменения. 2 Общество с ограниченной ответственностью «Андер Контрол»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 разрешении спора суды руководствовались положениями статей 845, 848, 858 Гражданского кодекса Российской Федерации, статьей 7 Федерального закона от 07.08.2001 № 115-ФЗ «О противодействии легализации (отмыванию) доходов, полученных преступным путем, и финансированию терроризма» и исходили из наличия у банка оснований для ограничения доступа к услугам дистанционного банковского обслуживания. Доводы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«Андер Контрол»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