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12.02.2020, оставленным без изменения постановлениями Девятого арбитражного апелляционного суда от 22.07.2020 и Арбитражного суда Московского округа от 15.10.2020, в удовлетворении требований, объединенных в одно производство, отказано. В жалобе учреждение ставит вопрос об отмене принятых по делу судебных актов, ссылаясь на нарушение судами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жалобы общества с ограниченной ответственностью ««Интелсвязь» (далее - общество) на действия аукционной комиссии учреждения при проведении аукциона на право заключения государственного контракта на оказание услуг по восстановлению компьютерных кабельных систем, выразившиеся в незаконном отклонении второй части заявки общества, антимонопольным органом принято решение. Управлением жалоба общества признана обоснованной, в действиях учреждения выявлено нарушение части 7 статьи 69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- Закон о контрактной системе). Выдано предписание об устранении нарушения законодательства об осуществлении закупок. Считая ненормативные акты антимонопольного органа незаконными, учреждение обратилось в арбитражный суд. Отказывая в удовлетворении заявленных требований, суды, руководствуясь положениями Закона о контрактной системе, Федерального закона от 08.08.2001 №129-ФЗ «О государственной регистрации юридических лиц и индивидуальных предпринимателей», Федерального закона от 27.07.2006 № 149-ФЗ «Об информации, информационных технологиях и о защите информации», пришли к выводу о законности оспариваемых ненормативных актов. Суды, принимая во внимание отсутствие доказательств недостоверности представленных обществом сведений, неясности относительно идентификационного номера налогоплательщика (далее - ИНН) учредителя общества и самого общества, исходили из отсутствия у аукционной комиссии оснований для отклонения заявки общества ввиду несоответствия требованиям Закона о контрактной системе и аукционной документации. 3 При исследовании обстоятельств дела установлено, что общество аккредитовано на электронной площадке и находится в реестре участников электронного аукциона, получивших аккредитацию на электронной площадке, в отношении его имелись соответствующие документы и сведения, в том числе, копия выписки из Единого государственного реестра юридических лиц, в которой имелась информация об ИНН учредителей и генерального директора общества. Приведенные в жалобе доводы не свидетельствуют о допущенной при рассмотрении дела судебной ошибке, не подтверждают существенных нарушений судами норм материального права и норм процессуального права, повлиявших на исход дела, выражают несогласие с выводами судов по фактическим обстоятельствам спора и основаны на ином толковании применительно к ним положений законодательства,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казенному учреждению Республики Саха (Якутия) «Центр закупок Республики Саха (Якутия)»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