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установлении стимулирующего вознаграждения в размере 163 964 рублей 89 копеек и взыскании его с общества с ограниченной ответственностью «Камчатстройпроект». Определением Арбитражного суда Камчатского края от 25.02.2020, оставленным без изменения постановлениями Пятого арбитражного апелляционного суда от 03.07.2020 и Арбитражного суда Дальневосточного округа от 10.09.2020,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пунктами 3.1 и 13 статьи 20.6 Федерального закона от 26.10.2002 № 127-ФЗ «О несостоятельности (банкротстве)», оценив объём выполненных конкурсным управляющим мероприятий в конкурсном производстве и фактические обстоятельства дела пришёл к выводу об отсутствии оснований для установления ему стимулирующего вознаграждения. Суды апелляционной инстанции и округа согласились с подобными выводами, в том числе о недоказанности причинно-следственной связи между погашением требований кредитора и результатами привлечения контролирующего должника лица к субсидиарной ответственности на основании заявления конкурсного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конкурсного управляющего обществом с ограниченной ответственностью «СтройСнабСервис» Камалову Тимуру Ильшатовичу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