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21.08.2018 удовлетворено заявление общества о включении его требований в размере 39 760 819 рублей 11 копеек в состав третьей очереди реестра требований кредиторов должника. Впоследствии конкурсный управляющий должником Антоненко Олег Геннадьевич обратился в суд с заявлением о пересмотре указанного определения по вновь открывшимся обстоятельствам. Решением Арбитражного суда Республики Татарстан от 11.02.2020, оставленным без изменения постановлениями Одиннадцатого арбитражного апелляционного суда от 22.05.2020 и Арбитражного суда Поволжского округа от 19.08.2020,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 руководствовался статьями 309, 311, 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 из того, что приводимые в нём обстоятельства являлись существенными и новыми, связанными с фактом частичного погашения долга перед заявителем третьим лицом за должника, способным повлечь за собой принятие иного судебного акта в части размера заявленных требований.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«ПермьТрансЛес»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