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№ 24 по г. Москве (далее – уполномоченный орган) обратилась в суд с заявлением о включении в реестр требований кредиторов должника задолженности в размере 19 558 238 рублей 18 копеек долга и 3 187 934 рублей 35 копеек пени. Определением Арбитражного суда города Москвы от 12.02.2020, оставленным без изменения постановлениями Девятого арбитражного апелляционного суда от 30.06.2020 и Арбитражного суда Московского округа от 24.09.2020,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134, 137 Федерального закона от 26.10.2002 № 127-ФЗ «О несостоятельности (банкротстве)», статьями 46, 47, 69, 75 Налогового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наличия и размера непогашенной задолженности перед уполномоченным органом.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«Техносерв Консалтинг»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