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26.05.2016 в иске отказано. 2 Постановлением Девятнадцатого арбитражного апелляционного суда от 13.09.2016 решение суда первой инстанции отменено, иск удовлетворен. Постановлением Арбитражного суда Центрального округа от 17.01.2017 постановление суда апелляционной инстанции отменено, решение суда первой инстанции оставлено в силе. Определением Верховного Суда Российской Федерации от 04.08.2017 принятые по делу судебные акты отменены, дело направлено на новое рассмотрение в Арбитражный суд Белгородской области. При новом рассмотрении дела решением Арбитражного суда Белгородской области от 21.11.2017, оставленным без изменения постановлением Девятнадцатого арбитражного апелляционного суда от 16.03.2018 и постановлением Арбитражного суда Центрального округа от 04.07.2018, иск удовлетворен в части взыскания с общества в пользу администрации 330 325,5 рублей неустойки за период с 31.05.2015 по 15.12.2015, в удовлетворении остальной части иска отказано. Определением Арбитражного суда Белгородской области от 10.03.2020 заявление администрации удовлетворено: произведена процессуальная замена взыскателя Администрации муниципального района «Город Валуйки и Валуйского района» Белгородской области на его правопреемника - Администрацию Валуйского городского округа. Определением Арбитражного суда Белгородской области от 15.04.2020 заявление общества «Судебная защита» о вступлении в дело в качестве третьего лица, не заявляющего самостоятельных требований относительно предмета спора, возвращено. Постановлением Девятнадцатого арбитражного апелляционного суда от 15.06.2020 определение Арбитражного суда Белгородской области от 15.04.2020 отменено, в удовлетворении заявления общества «Судебная защита» о вступлении в дело в качестве третьего лица, не заявляющего самостоятельных требований относительно предмета спора, отказано. 3 Постановлением Арбитражного суда Поволжского округа от 11.08.2020 постановление Девятнадцатого арбитражного апелляционного суда от 15.06.2020 оставлено без изменения. Общество «Судебная защита» просит обжалуемые судебные акты отменить, считая их принятыми с существенным нарушением норм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Отказывая в удовлетворении требования, суды апелляционной и кассационной инстанций исходили из того, что определение суда первой инстанции о процессуальном правопреемстве само по себе не создает правовых оснований для вступления в дело третьего лица на стадии исполнения судебного акта.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обстоятельств в жалобе не приведено.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