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учреждение обратилось в Арбитражный суд города Санкт-Петербурга и Ленинградской области со встречным иском о взыскании с общества 37 089 757 рублей 77 копеек неустойки за нарушение промежуточного срока выполнения работ, 2 083 283 рублей 55 копеек неустойки за нарушение конечного срока выполнения работ и 509 600 рублей штрафа. Определением суда первой инстанции от 20.11.2019, оставленным без изменения постановлениями Тринадцатого арбитражного апелляционного суда от 23.12.2019 и Арбитражного суда Северо-Западного округа от 08.06.2020, встречное исковое заявление возвращено учреждению. В кассационной жалобе, поданной в Верховный Суд Российской Федерации, учреждение, ссылаясь на существенное нарушение норм процессуального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Возвращая встречное исковое заявление, суд первой инстанции, с которым согласились апелляционный суд и суд округа, руководствовался статьями 129 , 132 Арбитражного процессуального кодекса Российской Федерации, и исходил из отсутствия совокупности обстоятельств, необходимых для принятия встречного искового заявления. Суды указали, что требования, заявленные по первоначальному и встречному искам, различны по содержанию, что не свидетельствует о наличии взаимной связи между ними, влечет необходимость при рассмотрении их судом устанавливать и оценивать различные обстоятельства и применять различные правовые нормы, регулирующие соответствующие правоотношения, в связи с чем их совместное рассмотрение в рамках одного производства не будет способствовать более быстрому и правильному рассмотрению дела и приведет к затягиванию его рассмотрения, не будет способствовать принципу разумности сроков судопроизводства; возвращение встречного иска не нарушает права учреждения на судебную защиту. Доводы учреждения, изложенные в кассационной жалобе, не опровергают выводы судов, не подтверждают нарушений судом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казенному учреждению «Фонд капитального строительства и реконструкции»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"Арсенал Северо-Запад" (подробнее) Ответчики: Санкт-Петербургское государственное казенное учреждение "Фонд капитального строительства и реконструкции" (подробнее) Иные лица: Тринадцатый арбитражный апелляционный суд (подробнее) Судьи дела: Антонова М.К. (судья) (подробнее) Последние документы по делу: Определение от 16 декабря 2020 г. по делу № А56-93729/2019 Определение от 28 сентября 2020 г. по делу № А56-93729/2019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