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20.12.2019, оставленным без изменения постановлением Девятого арбитражного апелляционного суда от 28.02.2020 и постановлением Арбитражного суда Московского округа от 23.06.2020, иск оставлен без рассмотрения на основании пункта 8 части 1 статьи 148 Арбитражного процессуального кодекса Российской Федерации. В кассационной жалобе общество «СОГАЗ» просит об отмене судебных актов, ссылаясь на незаконный отказ в реализации права на возмещение убытков в порядке суброгации.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заявленная к взысканию сумма составляет судебные издержки общества «Россети» в связи с рассмотрением дела № А40-226105/2016 Арбитражного суда города Москвы. После возмещения упомянутых издержек посредством страховой выплаты акционерному обществу «СОГАЗ» перешло право общества «Россети» на возмещение их за счет ответственного лица с соблюдением регулирующих отношения между ними правил (пункты 1, 2 статьи 965 Гражданского кодекса Российской Федерации). Признание за страховщиком (истцом) права на предъявление в отношении выплаченной суммы самостоятельного иска о взыскании убытков означало бы предоставление ему необоснованного по сравнению с обществом «Россети» преимущества на получение ее в иной срок и по иным критериям. Таким образом, оставление иска о взыскании убытков без рассмотрения в связи с наличием установленного статьей 112 Арбитражного процессуального кодекса Российской Федерации порядка взыскания спорной суммы не нарушает права акционерного общества «СОГАЗ» на суброгацию.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«СОГАЗ»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"СТРАХОВОЕ ОБЩЕСТВО ГАЗОВОЙ ПРОМЫШЛЕННОСТИ" (подробнее) Ответчики: Компания "Джамика Лимитед" Jamica Limited (подробнее) Компания Дженхолд Лимитед (GENHOLD LIMITED) (подробнее) Компания Ланкренан Инвестментс Лимитед Lancrenan Investments Limited (подробнее) Компания Просперити Капитал Мэнеджмент СИКАВ (PROSPERITY CAPITAL MANAGEMENT SICAV) (подробнее) Компания Процветание Холдингз Лимитед (Protsvetaniye holdings limited) (подробнее) Иные лица: Министерство Юстиции Российской Федерации Главное управление Министерства Юстиции Российской Федерации по Москве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