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иском к обществу с ограниченной ответственностью «Вятич-Т» (далее – Общество) о взыскании 1 923 416 рублей 49 копеек долга по арендной плате за период с 01.11.2015 по 30.04.2017; 137 652 рублей 15 копеек неустойки за период с 06.04.2016 по 30.04.2017; расторжении договора от 08.04.2005 № 01-00232/05 аренды нежилого помещения площадью 255,10 кв. м, расположенного по адресу: &lt;...&gt;; выселении Общества из указанного помещения и обязании передать данное помещение в освобожденном виде. В свою очередь Общество заявило встречные требования о признании права на имущественную поддержку субъекта малого предпринимательства в виде предоставления льготной ставки арендной платы в размере 3 500 рублей за кв. м в год по договору аренды от 08.04.2005 № 01-00232/05 за период с 18.11.2015 по 31.12.2016; о признании права на имущественную поддержку субъекта малого предпринимательства в виде предоставления льготной ставки арендной платы в размере 4 500 рублей за кв. м в год по указанному договору аренды за период с 01.01.2017 по 31.12.2018; об обязании произвести перерасчет арендной платы, начиная с 13.08.2015, исходя из ставки 3 500 рублей за кв. м в год, и с 01.01.2017 по 31.12.2018 исходя из ставки 4 500 рублей за кв. м в год. Решением Арбитражного суда города Москвы от 11.04.2019 первоначальный иск удовлетворен частично; встречные требования удовлетворены в полном объеме. Постановлением Девятого арбитражного апелляционного суда от 29.10.2019, оставленным без изменения постановлением Арбитражного суда Московского округа от 30.01.2020, решение от 11.04.2019 отменено, первоначальный иск удовлетворен в полном объеме; в удовлетворении встречных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«Вятич-Т». Срок подачи кассационной жалобы на постановление Девятого арбитражного апелляционного суда от 29.10.2019 и постановление Арбитражного суда Московского округа от 30.01.2020 по делу № А40-145833/2018 Арбитражного суда города Москвы восстановить.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Ответчики: ООО ВЯТИЧ-Т (подробнее) Судьи дела: Чучунова Н.С. (судья) (подробнее) Последние документы по делу: Резолютивная часть постановления от 8 декабря 2020 г. по делу № А40-145833/2018 Определение от 15 декабря 2020 г. по делу № А40-145833/2018 Определение от 21 октября 2020 г. по делу № А40-145833/2018 Определение от 13 июля 2020 г. по делу № А40-145833/2018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