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21.10.2019, оставленным без изменения постановлением Девятого арбитражного апелляционного суда от 27.02.2020, иск удовлетворен. Постановлением Арбитражного суда Московского округа от 28.08.2020 указанные судебные акты оставлены без изменения. 2 Ответчик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признав доказанным существенное нарушение ответчиком обязательств по контракту. Доводы кассационной жалобы были предметом исследования судов и получили исчерпывающую правовую оценку с учетом установленных обстоятельств, в том числе, виновных действий (бездействия) ответчика в нарушении обязательства по контракту,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