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его требования в размере 83 324 653 рублей 46 копеек. Определением Арбитражного суда Рязанской области от 25.09.2019, оставленным без изменения постановлениями Двадцатого арбитражного апелляционного суда от 12.02.2020 и Арбитражного суда Центрального округа от 18.08.2020, обществу отказано во включении его требования в третью очередь реестра.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Рязанской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809, 810 Гражданского кодекса Российской Федерации, статьями 19,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установив цель предоставления денежных средств должнику - инвестирование его деятельности, не связанной с получением экономической прибыли, приняв во внимание обстоятельства создания между сторонами искусственного оборота денежных средств, наращивание и длительное невостребование в разумный срок заинтересованным лицом подконтрольной кредиторской задолженности, не установили оснований для включения заявленного требования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«Елатьма-молоко»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