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 декабря 2020 года через электронный сервис «Мой Арбитр» заявитель обратился в Верховный Суд Российской Федерации с кассационной жалобой на определение Арбитражного суда города Москвы от 07.08.2020 и постановление Девятого арбитражного апелляционного суда от 01.10.2020 по делу № А40-122093/2018.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Девятого арбитражного апелляционного суда от 01.10.2020, на момент обращения заявителя срок, установленный статьёй 291.2 Арбитражного процессуального кодекса Российской Федерации, истёк. Обществом заявлено ходатайство о восстановлении пропущенного процессуального срока. В качестве причины пропуска срока заявитель ссылается на обжалование им указанных судебных актов в части удовлетворения ходатайства о продлении сроков инвентаризации имущества должника в Арбитражном суде Московского округа и прекращение производства по данной жалобе определением 2 Арбитражного суда Московского округа от 10.12.2020 ввиду её подачи на судебный акт, который не подлежит обжалованию в порядке кассационного производства в суде округа. Вместе с тем, в обжалуемом постановлении апелляционного суда от 01.10.2020 надлежащим образом разъяснён порядок обжалования указанных судебных актов. Как следует из информации, размещённой на официальном сайте арбитражных судов (www.arbitr.ru), постановление Девятого арбитражного апелляционного суда от 01.10.2020 было опубликовано в общедоступной базе судебных актов 05.10.2020. При этом из обжалуемого судебного акта суда апелляционной инстанции усматривается, что инициатором апелляционного обжалования судебного акта являлся сам заявитель. Таким образом, заявитель доподлинно знал о состоявшихся судебных актах, а также о порядке их обжалования и имел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общество, как лицо, участвующее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ему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«Центр урегулирования долговых обязательств» о восстановлении пропущенного процессуального срока отказать. Кассационную жалобу общества с ограниченной ответственностью «Центр урегулирования долговых обязательств» на определение Арбитражного суда города Москвы от 07.08.2020 и постановление Девятого арбитражного апелляционного суда от 01.10.2020 по делу № А40-122093/2018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