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09.12.2019, оставленным без изменения постановлением Первого арбитражного апелляционного суда от 26.02.2020 и постановлением Арбитражного суда 2 Волго-Вятского округа от 05.08.2020, первоначальный иск удовлетворен, в удовлетворении встречного иска отказано. Не согласившись с указанными судебными актами, предприниматель обратился в Верховный Суд Российской Федерации с кассационной жалобой, в которой изложено ходатайство о приостановлении их исполнения. Письмом от 14.12.2020 дело истребовано из Арбитражного суда Республики Марий Эл.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предпринимателя,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предпринимателем доводы подтверждают затруднительность поворота исполнения судебных актов в случае их отмены.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Юлаевой Татьяны Александровны удовлетворить. Приостановить исполнение решения Арбитражного суда Республики Марий Эл от 09.12.2019, постановления Первого арбитражного апелляционного суда от 26.02.2020 и постановления Арбитражного суда Волго-Вятского округа от 05.08.2020 по делу № А38-2568/2019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