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18.12.2019 иск удовлетворен. Постановлением Девятого арбитражного апелляционного суда от 10.03.2020 решение суда первой инстанции изменено, с учреждения в пользу предприятия взыскано 349 630 руб. 40 коп. неустойки, в удовлетворении остальной части иска отказано. Постановлением Арбитражного суда Московского округа от 12.08.2020 постановление суда апелляционной инстанции оставлено без изменения. В кассационной жалобе, поданной в Верховный Суд Российской Федерации, предприятие, ссылаясь на нарушение апелляционным и окружным судами норм материального и процессуального права, просит отменить 2 их постановления и направить дело на новое рассмотрение в суд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Изменяя решение суда первой инстанции и частично удовлетворяя иск, суд апелляционной инстанции, с выводами которого впоследствии согласился суд округа, руководствовался статьями 1, 330, 421 Гражданского кодекса Российской Федерации, правовой позицией, изложенной в постановлении Президиума Высшего Арбитражного Суда Российской Федерации от 15.07.2014 № 5467/14, и исходил из того, что условиями спорного договора предусмотрено поэтапное выполнение работ (четыре этапа), материалами дела подтвержден факт просрочки исполнения ответчиком обязательств только по четвертому этапу, поэтому в данном случае неустойка подлежит исчислению исходя из стоимости названного этапа, а не от всей цены договора. С учетом установленных судами фактических обстоятельств настоящего дела доводы, изложенные заявителем в кассационной жалобе,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унитарного предприятия «Космическая связь»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