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«Сварог» срок подачи кассационной жалобы на решение Арбитражного суда Свердловской области от 18.08.2019 по делу № А60-12567/2019, постановление Семнадцатого арбитражного апелляционного суда от 19.12.2019 и постановление Арбитражного суда Уральского округа от 10.06.2020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