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333.41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отсутствия возможности уплатить государственную пошлину обществом представлены справка налогового органа о наличии расчетных счетов в ПАО «Совкомбанк», ПАО «Банк Уралсиб», ПАО «Сбербанк России», справки ПАО «Банк Уралсиб», ПАО «Сбербанк России» об остатках денежных средств на расчетных счетах, в соответствии с которыми по состоянию на 30.11.2020 отсутствуют денежные средства в размере, необходимом для уплаты государственной пошлины. Вместе с тем справка ПАО «Совкомбанк» об остатках денежных средств на расчетных счетах, заявителем не представлена. В отсутствие данного документа представленные обществом доказательства не подтверждают действительного финансового положения общества.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291.5 Арбитражного процессуального кодекса Российской Федерации. 3 На основании изложенного, руководствуясь статьями 184-185, пунктом 2 части 5 статьи 291.3, пунктом 1 части 1 статьи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«Профмедсервис»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города Москвы от 17.01.2020, постановление Девятого арбитражного апелляционного суда от 02.07.2020 и постановление Арбитражного суда Московского округа от 13.10.2020 по делу № А40-210190/2019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