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Камчатского края от 19.02.2020, оставленным без изменения постановлением Пятого арбитражного апелляционного суда от 26.05.2020, иск удовлетворен в части признания 2 незаконным одностороннего отказа, в остальной части в удовлетворении иска отказано. Постановлением Арбитражного суда Дальневосточного округа от 03.09.2020 указанные судебные акты оставлены без изменения. Ответчик обратился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частично удовлетворили требования, признали незаконным односторонний отказ ответчика (заказчика) от муниципального контракта, в связи с недоказанностью существенного нарушения истцом (подрядчиком) муниципального контракта. Доводы кассационной жалобы были предметом исследования судов и получили исчерпывающую правовую оценку с учетом установленных обстоятельств отсутствия виновных действий (бездействия) истца в нарушении обязательства по контракту в части сроков выполнения работ, а также наличия их потребительской ценности для заказчика,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