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«Крестьянский дом» обратилось в Арбитражный суд Пермского края с иском о взыскании с общества с ограниченной ответственностью «НМЗ» 461 415 рублей стоимости имущества, переданного на хранение по договору хранения от 23.10.2018 № 10/11. Решением Арбитражного суда Пермского края от 31.01.2020 иск удовлетворен. Постановлением Семнадцатого арбитражного апелляционного суда от 19.06.2020 решение суда первой инстанции оставлено без изменения. Арбитражный суд Уральского округа постановлением от 12.10.2020 указанные судебные акты оставил без изменения. Общество с ограниченной ответственностью «НМЗ»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передачи истцом оборудования на хранение ответчику, отсутствие доказательств возврата принятого на хранение оборудования и доказательств, свидетельствующих о принятии ответчиком всех мер для надлежащего исполнения обязательства, непредставление ответчиком доказательств того, что утрата переданного на хранение оборудования произошла вследствие обстоятельств, которые хранитель не мог предотвратить, а также доказательств наличия оснований для освобождения ответчика от ответственности за неисполнение обязательства, руководствуясь положениями статей 401, 886, 887, 899, 901, 902 Гражданского кодекса Российской Федерации, суды признали иск обоснованным.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«НМЗ»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