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28.01.2020, оставленным без изменения постановлением Двенадцатого арбитражного апелляционного суда от 03.06.2020, в иске отказано. Постановлением Арбитражного суда Поволжского округа от 27.08.2020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Суды, оценив представленные доказательства, руководствуясь положениями статей 15 , 393 , 1102 , 1107 , 1109 Гражданского кодекса Российской Федерации, статьи 3.2 Федерального закона от 18.07.2011 № 223-ФЗ «О закупках товаров, работ, услуг отдельными видами юридических лиц», отказали в иске, установив факт уклонения общества от заключения муниципального контракта, и признав действия общества недобросовестными. Доводы кассационной жалобы были предметом исследования судов и получили исчерпывающую правовую оценку применительно к конкретным установленным обстоятельствам, не согласиться с которыми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"СВЕТОВЫЕ РЕКЛАМНЫЕ ТЕХНОЛОГИИ" (подробнее) Ответчики: "ЦЕНТР КУЛЬТУРЫ И ИСКУССТВА "ОКТЯБРЬ" (подробнее) Иные лица: УФАС по Волгоградской области (подробнее) Судьи дела: Першутов А.Г.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