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30.01.2020, оставленным без изменения постановлением Девятого арбитражного апелляционного суда от 02.07.2020, в удовлетворении иска отказано. Арбитражный суд Московского округа постановлением от 21.09.2020 отменил решение от 30.01.2020 и постановление Девятого арбитражного апелляционного суда от 02.07.2020 в связи с неустановлением необходимых для разрешения дела обстоятельств и направил дело на новое рассмотрение в Арбитражный суд города Москвы. В кассационной жалобе компания просит об отмене постановления окружного суда как незаконного и несоответствующего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отменил судебные акты нижестоящих инстанций в соответствии с основаниями и пределами полномочий, установленными статьями 286 - 288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"Спутник" (подробнее) Ответчики: ООО "Страховая компания "Арсеналъ"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