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26.02.2020, оставленным без изменения постановлением Пятого арбитражного апелляционного суда от 29.05.2020, иск удовлетворен. Постановлением Арбитражного суда Дальневосточного округа от 18.08.2020 указанные судебные акты оставлены без изменения. 2 Ответчик обратился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иск, признав факт выполнения работ подрядчиком и определив стоимость работ по результатам судебной экспертизы. Доводы жалобы относительно качества выполненных работ повторяют позицию ответчика по делу, являлись предметом рассмотрения судов и получили исчерпывающую правовую оценку с учетом установленной потребительской ценности выполненных работ для заказчика,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