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30.12.2019 первоначальный иск удовлетворен, в удовлетворении встречного иска отказано. Постановлением Девятнадцатого арбитражного апелляционного суда от 21.05.2020 решение суда первой инстанции отменено, первоначальный иск удовлетворен частично, с общества в пользу администрации взыскано 466 806,18 рублей штрафа, в удовлетворении остальной части иска отказано; встречный иск удовлетворен частично, с администрации в пользу общества взыскано 873 265 рублей задолженности, 194 665,32 рублей неустойки за период с 19.01.2017 по 24.12.2019, в удовлетворении остальной части встречного иска отказано; в результате произведенного зачета с администрации в пользу общества взыскано 501 124,14 рублей, распределены судебные расходы. Постановлением Арбитражного суда Центрального округа от 25.08.2020 постановление суда апелляционной инстанции оставлено без изменения. Администрация обратилась в Верховный Суд Российской Федерации с кассационной жалобой, в которой просит постановления судов апелляционной и кассационной инстанций отменить, оставить в силе решение суда первой инстанции. При изучении доводов жалобы и принятых по делу судебных актов оснований для удовлетворения жалобы не установлено. Суд апелляционной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частично удовлетворил первоначальный иск, установив факт нарушения обществом как подрядчиком сроков выполнения работ и неисполнения (ненадлежащего исполнения) обязательств по контракту, однако снизил размер штрафа на основании статьи 333 Гражданского кодекса Российской Федерации; частично удовлетворил встречный иск, признав доказанным факт выполнения 3 подрядчиком работ и их оплату администрацией как заказчиком с нарушением установленного срока.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качества выполненных работ и характера допущенных недостатков,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