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05.12.2019, оставленным без изменения постановлением Девятого арбитражного апелляционного суда от 28.02.2020, в удовлетворении иска отказано. Арбитражный суд Московского округа постановлением от 18.08.2020 решение от 05.12.2019 и постановление Девятого арбитражного апелляционного суда от 28.02.2020 оставил без изменения. В кассационной жалобе общество «Ресагро-Приморье» просит об отмене судебных актов, ссылаясь на противоречие выводов судов представленным доказательствам и судебной практике.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правомерно исходили из обеспечительного характера банковских гарантий и возможности их реализации только при нарушении основного обязательства. Исследовав правоотношения сторон, суды не установили обоснование в требовании о платеже обстоятельств, влекущих возврат аванса, который обеспечивали гарантии, поэтому признали отказ банка в платеже соответствующим статье 376 Гражданского кодекса Российской Федерации. Иная оценка обстоятельств исполнения условий гарантий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«Русагро-Приморье»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""ГРУППА КОМПАНИЙ "РУСАГРО" (подробнее) ООО "РУСАГРО-ПРИМОРЬЕ" (подробнее) Ответчики: ПАО "Восточный экспресс 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