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26.12.2019 первоначальный иск удовлетворен, в удовлетворении встречного иска отказано. Постановлением Девятнадцатого арбитражного апелляционного суда от 21.05.2020 решение суда первой инстанции отменено в части отказа в удовлетворении встречного иска, с администрации в пользу общества взыскано 183 291 рублей задолженности, 40 667,69 рублей неустойки за период с 19.01.2017 по 19.12.2017 с продолжением начисления с 20.12.2019 по день фактического исполнения обязательств, в удовлетворении остальной части встречного иска отказано, распределены судебные расходы; в результате произведенного зачета требований с администрации в пользу общества взыскано 135 677,31 рублей. Постановлением Арбитражного суда Центрального округа от 27.08.2020 постановление суда апелляционной инстанции оставлено без изменения. Администрация обратилась в Верховный Суд Российской Федерации с кассационной жалобой, в которой просит постановления судов апелляционной и кассационной инстанций отменить, оставить в силе решение суда первой инстанции. При изучении доводов жалобы и принятых по делу судебных актов оснований для удовлетворения жалобы не установлено. Суд апелляционной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частично отменил решение суда первой инстанции, удовлетворил встречный иск частично, признав доказанным факт выполнения подрядчиком работ и их оплату администрацией как заказчиком с нарушением установленного срока; при этом в части взыскания штрафа отказал, не установив неисполнения (ненадлежащего исполнения) заказчиком обязательств.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качества выполненных работ и характера допущенных недостатков,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Администрация города Обояни (подробнее) Ответчики: ООО "Инвест-Строй" (подробнее) ООО "СТРОЙГРУПП" (подробнее) Иные лица: Арбитражный суд Центрального округа (подробнее) Девятнадцатый арбитражный апелляционный суд (подробнее) НП "Курский центр судебной экспертизы" (подробнее) ООО "Индекс-Эксперт" филиал "Центр судебных и негосударственных экспертиз "Индекс" (подробнее) ООО "ЮМИС"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