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«Димитровградский металлургический завод» (поставщик) обратилось в Арбитражный суд Ульяновской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«Производственный комплекс Электрум» (покупателя) 1 838 371 рубля 32 копеек неустойки за период с 18.04.2019 по 31.10.2019. Решением Арбитражного суда Ульяновской области от 20.01.2020 иск удовлетворен. Постановлением Одиннадцатого арбитражного апелляционного суда от 16.06.2020 решение суда первой инстанции оставлено без изменения. Арбитражный суд Поволжского округа постановлением от 07.09.2020 указанные судебные акты оставил без изменения. Общество с ограниченной ответственностью «Производственный комплекс Электрум» обратилось в Судебную коллегию по экономическим 2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свои обязательства ответчик исполнил ненадлежащим образом, оплатив поставленную продукцию с нарушением установленного договором срока, руководствуясь статьями 329, 330, 454, 486, 506, 516 Гражданского кодекса Российской Федерации, суды пришли к выводу о наличии оснований для взыскания договорной неустойки, не усмотрев оснований для уменьшения размера подлежащей взысканию неустойки в порядке статьи 333 Гражданского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«Производственный комплекс Электрум»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