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Белгородской области от 26.10.2019 иск управления удовлетворен. Определением Арбитражного суда Белгородской области от 17.02.2020, оставленным без изменения постановлением Девятнадцатого арбитражного апелляционного суда от 22.06.2020 и постановлением Арбитражного суда Центрального округа от 25.08.2020, заявление предпринимателя о взыскании судебных расходов оставлено без удовлетворения. В кассационной жалобе предприниматель просит об отмене судебных актов, ссылаясь на игнорирование злоупотребления управлением процессуальными правами.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Аргументы предпринимателя о необходимости применения правила части 2 статьи 111 Арбитражного процессуального кодекса Российской Федерации при определении судьбы судебных расходов обсуждены и условий для его применения не установлено.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Управление автомобильных дорог общего пользовании и транспорта Белгородской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