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12.02.2020, оставленным без изменения постановлением Пятнадцатого арбитражного апелляционного суда от 18.06.2020 и постановлением Арбитражного суда Северо-Кавказского округа от 24.09.2020, в иске отказано. В кассационной жалобе товарищество просит об отмене судебных актов, ссылаясь на отсутствие у ответчика законного и договорного основания для одностороннего расторжения договора, необоснованное отклонение окружным судом ходатайства об отложении судебного заседания.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односторонний отказ завода от договора основан на договорном условии, которым завод руководствовался при направлении заявления. Наступление условия для отказа от договора в виде нарушения срока платежей установлено судами. Неполучение товариществом счетов и уведомления о готовности товара к отгрузке опровергается исследованными доказательствами. Вопрос о возможности рассмотрения дела в отсутствие представителя товарищества отнесен к компетенции окружного суда и не создает оснований для кассационного пересмотра его постановления.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 ограниченной ответственностью «Главная распределительная энергостанция Топар»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Товарищество с ограниченной ответственностью "Главная распределительная энергостанция Топар" (подробнее) ТОО "Главная распределительная энергостанция Топар" (подробнее) Ответчики: ОАО "Таганрогский котлостроительный завод "Красный котельщик"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