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14 декабря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Самарской области от 27.01.2020, оставленным без изменения постановлением Одиннадцатого арбитражного апелляционного суда от 28.05.2020 и постановлением Арбитражного суда Поволжского округа от 19.08.2020, в иске отказано. В кассационной жалобе общество «Агропрогресс» просит о пересмотре судебных актов как противоречащих представленным доказательствам.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Вопросы доказывания и оценки доказательств, на которых основаны доводы жалобы, не составляют оснований для кассационного пересмотра судебных актов. Руководствуясь статьями 291.6 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«Агропрогресс»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 Суд: Верховный Суд РФ (подробнее) Истцы: ООО "Агропрогресс" (подробнее) Ответчики: ООО "АСТ-ГРУПП" (подробнее) Иные лица: Арбитражный суд Поволжского округа (подробнее) к/у ОВЧИННИКОВА НАИЛЯ РАВИЛЬЕВНАООО "Агрофирма "Белозерки" (подробнее) ООО "Правовая платформа" Маренич Татьяна Вениаминовна (подробнее) Отдел адресно-справочной работы УФМС России по Самарской обл. (подробнее) Судьи дела: Ксенофонтова Н.А.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