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«Шельф Логистика» (покупатель) обратилось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«Торговый Дом Кристалл» (поставщика) 2 867 280 рублей задолженности по договору от 20.04.2015 № 04/45.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«Квадра-Генерирующая компания». Решением Арбитражного суда Нижегородской области от 17.03.2020 иск удовлетворен. Постановлением Первого арбитражного апелляционного суда от 25.06.2020 решение суда оставлено без изменения. Арбитражный суд Волго-Вятского округа постановлением от 22.09.2020 указанные судебные оставил без изменения. 2 Общество с ограниченной ответственностью «Торговый Дом Кристалл»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 стороне ответчика образовалась задолженность в связи с наличием переплаты за поставленный товар, а также установив, что поставщик поставил покупателю товар ненадлежащего качества и отсутствуют доказательства замены товара ненадлежащего качества на качественный товар либо возврата стоимости некачественного товара, руководствуясь положениями статей 309, 310, 452, 475, 486, 506, 516 Гражданского кодекса Российской Федерации, суды признали иск обоснованным.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Кристалл»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