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20.03.2020, оставленным без изменения постановлениями Десятого арбитражного апелляционного суда от 18.06.2020 и Арбитражного суда Московского округа от 26.08.2020, в удовлетворении заявленного требования отказано. В кассационной жалобе товарищество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2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на предмет соблюдения товариществом лицензионных требований и требований, установленных жилищным законодательством, при предоставлении жилищно-коммунальных услуг, инспекцией установлено, что товариществом нарушены требования пункта 42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в связи с чем выдано предписание. Основанием для выдачи оспариваемого предписания послужили выводы инспекции о том, что товарищество производит начисление за коммунальную услугу по горячему водоснабжению (ГВС) по двухкомпонентному тарифу, исходя из фактических показаний общедомового прибора учета горячего водоснабжения, то есть без учета утвержденного норматива расхода тепловой энергии на подогрев, который определяется расчетным методом, исходя из расхода тепловой энергии на горячее водоснабжение и объема холодного водоснабжения для приготовления горячей воды, утвержденных решением Совета депутатов Люберецкого муниципального района от 26.12.2007 № 272/30 «О нормативах потребления гражданами коммунальных услуг в муниципальном образовании городское поселение Люберцы Люберецкого муниципального района Московской области» (далее – Решение № 272/30). Отказывая в удовлетворении заявления, суды, исследовав и оценив представленные в материалы дела доказательства, руководствуясь положениями статьи 157 Жилищного кодекса Российской Федерации, Правилами № 354, пришли к выводу о том, что оспариваемое предписание соответствует действующему законодательству. Судебные инстанции исходили из того, что количество тепловой энергии, использованной на подогрев воды, определяется по установленным в предусмотренном законодательством порядке нормативам расхода тепловой энергии на подогрев воды для целей горячего водоснабжения, независимо от наличия коллективного (общедомового) прибора учета тепловой энергии в системе горячего водоснабжения многоквартирного дома, системы теплоснабжения (горячего водоснабжения) (открытая или закрытая), а также периода времени года (отопительный или неотопительный). При этом суды указали на необходимость приведения начисления платы за горячее водоснабжение в доме в соответствие с требованиями Правил № 354 и пункта 2.3 распоряжения Министерства жилищно-коммунального хозяйства Московской области от 09.12.2014 № 162-РВ «Об утверждении нормативов 3 потребления коммунальных услуг в отношении холодного и горячего водоснабжения, водоотведения, электроснабжения и отопления», исходя из норматива, утвержденного Решением № 272/30. Доводы кассационной жалобы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«Новая жизнь»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