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Краснодарского края от 08.02.2020, оставленным без изменения постановлением Пятнадцатого арбитражного апелляционного суда от 26.05.2020 и постановлением Арбитражного суда Северо-Кавказского округа от 07.09.2020, в удовлетворении иска отказано. В кассационной жалобе, поданной в Верховный Суд Российской Федерации, общество, ссылаясь на нарушение судами норм материального и процессуального права, просит отменить указанные судебные акты и направить дело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2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установив факт ненадлежащего исполнения обществом условий договора, отсутствие доказательств приостановления им выполнения работ и передачи их результата компании, руководствуясь статьями 309, 310, 450.1, 702, 708, 716, 719 Гражданского кодекса Российской Федерации, суды первой и апелляционной инстанций признали правомерным односторонний отказ ответчика от исполнения договора и отказали в удовлетворении иска, с чем впоследствии согласился суд округа. Изложенные в кассационной жалобе доводы были предметом рассмотрения судов и получили правовую оценку, не опровергают выводы судов,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Группа компаний «Фавор»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