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«ЭНТОЛ»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«ОТП Банк» 846 803 рублей 25 копеек неосновательного обогащения и 65 766 рублей процентов за пользование чужими денежными средствами. Решением Арбитражного суда города Москвы от 22.01.2020 в удовлетворении иска отказано. Постановлением Девятого арбитражного апелляционного суда от 18.06.2020 решение суда первой инстанции оставлено без изменения. Арбитражный суд Московского округа постановлением от 31.08.2020 указанные судебные акты оставил без изменения. Общество с ограниченной ответственностью «ЭНТОЛ»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2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разрешении спора суды руководствовались положениями Федерального закона от 07.08.2001 № 115-ФЗ «О противодействии легализации (отмыванию) доходов, полученных преступным путем, и финансированию терроризма», статьей 1102 Гражданского кодекса Российской Федерации и исходили из отсутствия на стороне ответчика неосновательного обогащения. Доводы, изложенные в кассационной жалобе, были рассмотрены судами и им дана надлежащая оценка.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спора.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«ЭНТОЛ»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