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«Вейкапп» обратилось в Арбитражный суд города Санкт-Петербурга и Ленинградской области с иском о взыскании с индивидуального предпринимателя Калинова Дмитрия Александровича 2 452 450 рублей неосновательного обогащения, 5 845 рублей 57 копеек процентов за пользование чужими денежными средствами. Решением Арбитражного суда города Санкт-Петербурга и Ленинградской области от 26.03.2020 иск удовлетворен. Постановлением Тринадцатого арбитражного апелляционного суда от 23.06.2020 решение суда первой инстанции оставлено без изменения. Арбитражный суд Северо-Западного округа постановлением от 08.10.2020 указанные судебные акты оставил без изменения. Индивидуальный предприниматель Калинов Дмитрий Александрович обратился в Судебную коллегию Верховного Суда Российской Федерации с 2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64, 65, 71 Арбитражного процессуального кодекса Российской Федерации, установив факт получения ответчиком спорных денежных средств в отсутствие заключенного между сторонами договора и недоказанность исполнения ответчиком встречного обязательства, руководствуясь положениями статей 309, 310, 779, 780, 1102 Гражданского кодекса Российской Федерации, суды пришли к выводу об обоснованности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Калинову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