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(далее - АПК РФ)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отказано. Рассмотрев ходатайство об отсрочке уплаты государственной пошлины, суд приходит к выводу об отказе в его удовлетворении, поскольку заявителем не представлены доказательства, свидетельствующие об отсутствии у него денежных средств в размере, необходимом для уплаты пошлины.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291.5 АПК РФ . Руководствуясь статьями 184 , 291.2 , 291.5 АПК РФ 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«Газэн Петрокемикал, Ойл энд Гэс Продактс Трейдинг» в удовлетворении ходатайства об отсрочке уплаты государственной пошлины. Кассационную жалобу общества с ограниченной ответственностью «Газэн Петрокемикал, Ойл энд Гэс Продактс Трейдинг» на решение Арбитражного суда города Москвы от 31.01.2020, постановление Девятого арбитражного апелляционного суда от 31.07.2020 и постановление Арбитражного суда Московского округа от 10.11.2020 по делу № А40-223943/2019 возвратить заявителю. Судья Верховного Суда Российской Федерации Р.А. Хатыпова Суд: Верховный Суд РФ (подробнее) Истцы: ООО "ГАЗЭН ПЕТРОКЕМИКАЛ, ОЙЛ ЭНД ГЭС ПРОДАКТС ТРЕЙДИНГ" (подробнее) Судьи дела: Хатыпова Р.А.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